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59" w:rsidRPr="00AE4123" w:rsidRDefault="00A67459" w:rsidP="00A6745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1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2722176" behindDoc="1" locked="0" layoutInCell="1" allowOverlap="1" wp14:anchorId="34DD1A54" wp14:editId="2147E521">
            <wp:simplePos x="0" y="0"/>
            <wp:positionH relativeFrom="column">
              <wp:posOffset>5841365</wp:posOffset>
            </wp:positionH>
            <wp:positionV relativeFrom="paragraph">
              <wp:posOffset>-26670</wp:posOffset>
            </wp:positionV>
            <wp:extent cx="870585" cy="1485900"/>
            <wp:effectExtent l="0" t="0" r="5715" b="0"/>
            <wp:wrapNone/>
            <wp:docPr id="1" name="Рисунок 1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6745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 РЕСПУБЛИКАНСКАЯ АКАДЕМИЯ </w:t>
      </w:r>
    </w:p>
    <w:p w:rsidR="00A67459" w:rsidRPr="00A67459" w:rsidRDefault="00A67459" w:rsidP="00A6745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СЛУЖБЫ И УПРАВЛЕНИЯ</w:t>
      </w:r>
    </w:p>
    <w:p w:rsidR="00A67459" w:rsidRPr="00A67459" w:rsidRDefault="00A67459" w:rsidP="00A67459">
      <w:pPr>
        <w:suppressAutoHyphens/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5"/>
          <w:szCs w:val="25"/>
        </w:rPr>
      </w:pPr>
      <w:r w:rsidRPr="00A67459">
        <w:rPr>
          <w:rFonts w:ascii="Times New Roman" w:eastAsia="Times New Roman" w:hAnsi="Times New Roman" w:cs="Times New Roman"/>
          <w:b/>
          <w:color w:val="385623" w:themeColor="accent6" w:themeShade="80"/>
          <w:sz w:val="25"/>
          <w:szCs w:val="25"/>
        </w:rPr>
        <w:t>предлагает</w:t>
      </w:r>
    </w:p>
    <w:p w:rsidR="00A67459" w:rsidRPr="00AE4123" w:rsidRDefault="00A67459" w:rsidP="00A6745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бухгалтерам, финансовым директорам, бухгалтерам, </w:t>
      </w:r>
    </w:p>
    <w:p w:rsidR="00A67459" w:rsidRPr="00A67459" w:rsidRDefault="00A67459" w:rsidP="00A6745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19929"/>
          <w:sz w:val="24"/>
          <w:szCs w:val="24"/>
          <w:lang w:eastAsia="zh-CN"/>
        </w:rPr>
      </w:pPr>
      <w:r w:rsidRPr="00AE4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расчетчикам заработной платы</w:t>
      </w:r>
    </w:p>
    <w:p w:rsidR="00AE4123" w:rsidRDefault="001753C2" w:rsidP="00AE412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zh-CN"/>
        </w:rPr>
        <w:t>курсы повышения квалификации</w:t>
      </w:r>
      <w:r w:rsidR="00A67459" w:rsidRPr="00AE412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zh-CN"/>
        </w:rPr>
        <w:t xml:space="preserve"> </w:t>
      </w:r>
    </w:p>
    <w:p w:rsidR="00A67459" w:rsidRPr="00AE4123" w:rsidRDefault="00A67459" w:rsidP="00AE412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zh-CN"/>
        </w:rPr>
      </w:pPr>
      <w:r w:rsidRPr="008C3059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28"/>
          <w:lang w:eastAsia="ru-RU"/>
        </w:rPr>
        <w:t>24-25 октября 2015 года</w:t>
      </w:r>
    </w:p>
    <w:p w:rsidR="00A67459" w:rsidRDefault="00A67459" w:rsidP="00A674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</w:pPr>
      <w:r w:rsidRPr="008C3059"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  <w:t xml:space="preserve"> «Обзор изменений в законодательстве 2016-2017 гг.: бухгалтерский, налого</w:t>
      </w:r>
      <w:r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  <w:t xml:space="preserve">вый, трудовой, </w:t>
      </w:r>
    </w:p>
    <w:p w:rsidR="00A67459" w:rsidRPr="008C3059" w:rsidRDefault="00A67459" w:rsidP="00A674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  <w:t xml:space="preserve">административный </w:t>
      </w:r>
      <w:r w:rsidRPr="008C3059"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  <w:t>аспекты»</w:t>
      </w:r>
    </w:p>
    <w:p w:rsidR="00AE4123" w:rsidRDefault="00AE4123" w:rsidP="00A6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ru-RU"/>
        </w:rPr>
      </w:pPr>
      <w:r w:rsidRPr="005B3BBF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 </w:t>
      </w:r>
    </w:p>
    <w:p w:rsidR="00AE4123" w:rsidRPr="00317160" w:rsidRDefault="00AE4123" w:rsidP="001753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C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24 октября </w:t>
      </w:r>
      <w:r w:rsidR="001753C2" w:rsidRPr="001753C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2016 г.</w:t>
      </w:r>
      <w:r w:rsidR="001753C2" w:rsidRPr="001753C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="00D62255" w:rsidRPr="001753C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625B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«Налоги организации в 2016-2017гг»</w:t>
      </w:r>
    </w:p>
    <w:p w:rsidR="00317160" w:rsidRPr="00963B54" w:rsidRDefault="00317160" w:rsidP="0031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1. Налоговые агенты по НДС и налогу на доходы в 2016 г.</w:t>
      </w:r>
    </w:p>
    <w:p w:rsidR="00317160" w:rsidRPr="00963B54" w:rsidRDefault="00317160" w:rsidP="00317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Когда налогового агента нельзя привлечь к ответственности.</w:t>
      </w:r>
    </w:p>
    <w:p w:rsidR="00317160" w:rsidRPr="00963B54" w:rsidRDefault="00317160" w:rsidP="00317160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Новая Позиция Минфина с 2016 </w:t>
      </w:r>
      <w:proofErr w:type="gram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г..</w:t>
      </w:r>
      <w:proofErr w:type="gramEnd"/>
    </w:p>
    <w:p w:rsidR="00317160" w:rsidRPr="00963B54" w:rsidRDefault="00317160" w:rsidP="00317160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Новый Федеральный закон о проставлении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апостиля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 российских официальных документах. ФНС о сертификатах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резидентсва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 их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апостилировании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317160" w:rsidRPr="00963B54" w:rsidRDefault="00317160" w:rsidP="00317160">
      <w:pPr>
        <w:numPr>
          <w:ilvl w:val="0"/>
          <w:numId w:val="2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Налоговый агент по доходам в поисках бенефициара в 2016 г. и как распознать лицо, которое имеет фактическое право на доходы.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2. НДС 2016 г.</w:t>
      </w:r>
    </w:p>
    <w:p w:rsidR="00317160" w:rsidRPr="00963B54" w:rsidRDefault="00317160" w:rsidP="00317160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Декларация по НДС с 2016 г. Как сами налоговики советуют пояснять расхождения и что делать, если сведения из декларации по НДС не совпадают с данными контрагентов.</w:t>
      </w:r>
    </w:p>
    <w:p w:rsidR="00317160" w:rsidRPr="00963B54" w:rsidRDefault="00317160" w:rsidP="00317160">
      <w:pPr>
        <w:numPr>
          <w:ilvl w:val="0"/>
          <w:numId w:val="3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Инструкция ФНС о действиях фирмы, которая должна пояснить декларацию по НДС.</w:t>
      </w:r>
    </w:p>
    <w:p w:rsidR="00317160" w:rsidRPr="00963B54" w:rsidRDefault="00317160" w:rsidP="00317160">
      <w:pPr>
        <w:numPr>
          <w:ilvl w:val="0"/>
          <w:numId w:val="3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Пошаговая инструкция: как сдать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уточненку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317160" w:rsidRPr="00963B54" w:rsidRDefault="00317160" w:rsidP="00317160">
      <w:pPr>
        <w:numPr>
          <w:ilvl w:val="0"/>
          <w:numId w:val="3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Новый заявительный порядок возмещения НДС с 2016 г. Об НДС с 2016 г. при выставлении счета-фактуры «упрощенцем».</w:t>
      </w:r>
    </w:p>
    <w:p w:rsidR="00317160" w:rsidRPr="00963B54" w:rsidRDefault="00317160" w:rsidP="00317160">
      <w:pPr>
        <w:numPr>
          <w:ilvl w:val="0"/>
          <w:numId w:val="3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Уточнение с 2016 г. порядка подтверждения права на возмещение НДС при экспорте.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3. Как применять новые правила по НДС с 2016 г.: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Новая уточняющая позиция Минфина с 2016 г. по 149 статье.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КС РФ уточнил в 2016 г. норму об НДС по страховке за неоплату товара.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НДС, уплаченный за счет своих средств, учесть в расходах.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Всегда ли премии, полученные покупателем за выполнение условий поставки, не облагаются НДС.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 учете обеспечительного платежа для целей налога на прибыль и НДС.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 НДС при реализации товаров по цене ниже цены приобретения.</w:t>
      </w:r>
    </w:p>
    <w:p w:rsidR="00317160" w:rsidRPr="00963B54" w:rsidRDefault="00317160" w:rsidP="00317160">
      <w:pPr>
        <w:numPr>
          <w:ilvl w:val="0"/>
          <w:numId w:val="4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начислить НДС по длящимся услугам – алгоритм начисления. НК, Минфин и ФНС о восстановлении НДС при экспорте в 2016 г.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4. Вычеты.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Почему в вычете НДС не откажут, даже если счет-фактура выставлен по истечении 5 дней.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Когда для вычета по НДС счет-фактура не нужна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Когда покупатели обязаны скорректировать вычеты по НДС, если получили от поставщиков премии по итогам отгрузок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Вправе ли покупатель принять к вычету сумму НДС по товару без перехода права собственности на него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Что входит в трехлетний срок на вычет НДС: позиция Минфина и КС РФ</w:t>
      </w:r>
    </w:p>
    <w:p w:rsidR="00317160" w:rsidRPr="00963B54" w:rsidRDefault="00317160" w:rsidP="00317160">
      <w:pPr>
        <w:numPr>
          <w:ilvl w:val="0"/>
          <w:numId w:val="5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Случаи, когда вычет по НДС не удастся перенести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5. Какие изменения по налогу на прибыль надо будет учесть в 2016 г.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сблизить бухгалтерский и налоговый учет по основным средствам в 2016 г.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Учет амортизации основных средств в 2016 г.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Законные проценты и налог на прибыль с июня 2015 г.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Влияние законных процентов, начисленных по умолчанию, на расчет налога на прибыль.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Предельные значения процентных ставок по долговым обязательствам на 2016 год.</w:t>
      </w:r>
    </w:p>
    <w:p w:rsidR="00317160" w:rsidRPr="00963B54" w:rsidRDefault="00317160" w:rsidP="00317160">
      <w:pPr>
        <w:numPr>
          <w:ilvl w:val="0"/>
          <w:numId w:val="6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Новые правила учета процентов по контролируемой задолженности.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6. Основные изменения в НК РФ с 2016г (ч.1 НК РФ).</w:t>
      </w:r>
    </w:p>
    <w:p w:rsidR="00317160" w:rsidRPr="00963B54" w:rsidRDefault="00317160" w:rsidP="0031716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Уплата и взыскание налогов, налоговые проверки, привлечение к налоговой ответственности (часть первая НК РФ).</w:t>
      </w:r>
    </w:p>
    <w:p w:rsidR="00317160" w:rsidRPr="00963B54" w:rsidRDefault="00317160" w:rsidP="00317160">
      <w:pPr>
        <w:numPr>
          <w:ilvl w:val="0"/>
          <w:numId w:val="7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Заполнение платежных поручений. Ключевая ставка вместо ставки рефинансирования с 2016 г.</w:t>
      </w:r>
    </w:p>
    <w:p w:rsidR="00317160" w:rsidRPr="00963B54" w:rsidRDefault="00317160" w:rsidP="00317160">
      <w:pPr>
        <w:numPr>
          <w:ilvl w:val="0"/>
          <w:numId w:val="7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Когда регулярная уплата налога может помешать возврату переплаты.</w:t>
      </w:r>
    </w:p>
    <w:p w:rsidR="00317160" w:rsidRPr="00963B54" w:rsidRDefault="00317160" w:rsidP="00317160">
      <w:pPr>
        <w:numPr>
          <w:ilvl w:val="0"/>
          <w:numId w:val="7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исключить свою организацию из плана неналоговых проверок.</w:t>
      </w:r>
    </w:p>
    <w:p w:rsidR="00317160" w:rsidRPr="00963B54" w:rsidRDefault="00317160" w:rsidP="00317160">
      <w:pPr>
        <w:numPr>
          <w:ilvl w:val="0"/>
          <w:numId w:val="7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Правомерность взыскания налоговым органом задолженности налогоплательщика с его взаимозависимого лица.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7. Какие условия должны быть включены в договоры 2016 г. для признания их безопасными.</w:t>
      </w:r>
    </w:p>
    <w:p w:rsidR="00317160" w:rsidRPr="00963B54" w:rsidRDefault="00317160" w:rsidP="00317160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каких случаях необходимо пересмотреть условия договоров 2015 г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 как это сделать.</w:t>
      </w:r>
    </w:p>
    <w:p w:rsidR="00317160" w:rsidRPr="00963B54" w:rsidRDefault="00317160" w:rsidP="00317160">
      <w:pPr>
        <w:numPr>
          <w:ilvl w:val="0"/>
          <w:numId w:val="8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Безопасные формулировки договоров 2016 г. Чем грозят кредиторам и дебиторам новые «законные проценты».</w:t>
      </w:r>
    </w:p>
    <w:p w:rsidR="00317160" w:rsidRPr="00963B54" w:rsidRDefault="00317160" w:rsidP="00317160">
      <w:pPr>
        <w:numPr>
          <w:ilvl w:val="0"/>
          <w:numId w:val="8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Чем отличаются «законные» проценты от процентов за просрочку платежа, установленные в статье 395 ГК РФ.</w:t>
      </w:r>
    </w:p>
    <w:p w:rsidR="00317160" w:rsidRPr="00963B54" w:rsidRDefault="00317160" w:rsidP="00317160">
      <w:pPr>
        <w:numPr>
          <w:ilvl w:val="0"/>
          <w:numId w:val="8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Сложные проценты 2016 г. Миф или реальность.</w:t>
      </w:r>
    </w:p>
    <w:p w:rsidR="00317160" w:rsidRPr="00963B54" w:rsidRDefault="00317160" w:rsidP="00317160">
      <w:pPr>
        <w:numPr>
          <w:ilvl w:val="0"/>
          <w:numId w:val="8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Как обезопасить расходы на скидки и премии с точки зрения НК РФ и судебной практики в 2016 г.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8</w:t>
      </w: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Налог на имущество: изменения — 2016.</w:t>
      </w:r>
    </w:p>
    <w:p w:rsidR="00317160" w:rsidRPr="00963B54" w:rsidRDefault="00317160" w:rsidP="00317160">
      <w:pPr>
        <w:numPr>
          <w:ilvl w:val="0"/>
          <w:numId w:val="9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Кто платит налог на имущество, если у покупателя-балансодержателя нет права собственности.</w:t>
      </w:r>
    </w:p>
    <w:p w:rsidR="00317160" w:rsidRPr="00963B54" w:rsidRDefault="00317160" w:rsidP="00317160">
      <w:pPr>
        <w:numPr>
          <w:ilvl w:val="0"/>
          <w:numId w:val="9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Несовпадение позиций ФНС и Минфина О налогообложении налогом на имущество организаций недвижимого имущества, учтенного в качестве товаров или вложений во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внеоборотные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активы в 2016 г.</w:t>
      </w:r>
    </w:p>
    <w:p w:rsidR="00317160" w:rsidRPr="00963B54" w:rsidRDefault="00317160" w:rsidP="00317160">
      <w:pPr>
        <w:numPr>
          <w:ilvl w:val="0"/>
          <w:numId w:val="9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Оспаривание кадастровой оценки: нюансы процедуры.</w:t>
      </w:r>
    </w:p>
    <w:p w:rsidR="00317160" w:rsidRPr="00963B5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9</w:t>
      </w:r>
      <w:r w:rsidRPr="00963B5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Валютный контроль с 2016 г.</w:t>
      </w:r>
    </w:p>
    <w:p w:rsidR="00317160" w:rsidRPr="00963B54" w:rsidRDefault="00317160" w:rsidP="00317160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Новые рекомендации ФНС по выявлению сомнительных операций и оценке рисков нарушения требований валютного законодательства</w:t>
      </w:r>
    </w:p>
    <w:p w:rsidR="00317160" w:rsidRPr="00963B54" w:rsidRDefault="00317160" w:rsidP="00317160">
      <w:pPr>
        <w:numPr>
          <w:ilvl w:val="0"/>
          <w:numId w:val="10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 контроле за валютными операциями участников ВЭД. Позиция ФНС.</w:t>
      </w:r>
    </w:p>
    <w:p w:rsidR="00317160" w:rsidRPr="00963B54" w:rsidRDefault="00317160" w:rsidP="00317160">
      <w:pPr>
        <w:numPr>
          <w:ilvl w:val="0"/>
          <w:numId w:val="10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Уточнение административных санкций для организаций и граждан за несоблюдение валютного законодательства.</w:t>
      </w:r>
    </w:p>
    <w:p w:rsidR="00317160" w:rsidRPr="00963B54" w:rsidRDefault="00317160" w:rsidP="00317160">
      <w:pPr>
        <w:numPr>
          <w:ilvl w:val="0"/>
          <w:numId w:val="10"/>
        </w:num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Кто стал правопреемником </w:t>
      </w:r>
      <w:proofErr w:type="spellStart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Росфиннадзора</w:t>
      </w:r>
      <w:proofErr w:type="spellEnd"/>
      <w:r w:rsidRPr="00963B5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317160" w:rsidRDefault="00317160" w:rsidP="00317160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ru-RU"/>
        </w:rPr>
      </w:pPr>
    </w:p>
    <w:p w:rsidR="001753C2" w:rsidRDefault="001753C2" w:rsidP="001753C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</w:p>
    <w:p w:rsidR="00317160" w:rsidRPr="00B625BB" w:rsidRDefault="00317160" w:rsidP="001753C2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color w:val="1F3864" w:themeColor="accent5" w:themeShade="80"/>
          <w:sz w:val="24"/>
          <w:szCs w:val="34"/>
          <w:lang w:eastAsia="ru-RU"/>
        </w:rPr>
      </w:pPr>
      <w:r w:rsidRPr="001753C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25 октября</w:t>
      </w:r>
      <w:r w:rsidR="001753C2" w:rsidRPr="001753C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2016 г.</w:t>
      </w:r>
      <w:r w:rsidR="001753C2" w:rsidRPr="001753C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="00D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B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«Зарплатные налоги и взаимоотношения с персоналом организации»</w:t>
      </w:r>
    </w:p>
    <w:p w:rsidR="00317160" w:rsidRPr="00E757F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Особенности нового порядка налогообложения имущества физических лиц с 2016 г.</w:t>
      </w:r>
    </w:p>
    <w:p w:rsidR="00317160" w:rsidRPr="00E757F4" w:rsidRDefault="00317160" w:rsidP="00317160">
      <w:pPr>
        <w:numPr>
          <w:ilvl w:val="0"/>
          <w:numId w:val="1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самим рассчитать налог на имущество физлиц по кадастровой стоимости.</w:t>
      </w:r>
    </w:p>
    <w:p w:rsidR="00317160" w:rsidRPr="00E757F4" w:rsidRDefault="00317160" w:rsidP="003171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налоговое уведомление налогоплательщику не направляется.</w:t>
      </w:r>
    </w:p>
    <w:p w:rsidR="00317160" w:rsidRPr="00E757F4" w:rsidRDefault="00317160" w:rsidP="003171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Всегда ли предоставлять </w:t>
      </w:r>
      <w:proofErr w:type="gramStart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налоговую сведения</w:t>
      </w:r>
      <w:proofErr w:type="gramEnd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объектах налогообложения.</w:t>
      </w:r>
    </w:p>
    <w:p w:rsidR="00317160" w:rsidRPr="00E757F4" w:rsidRDefault="00317160" w:rsidP="003171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Инспекторы рассказали, как будут взыскивать недоимки с граждан.</w:t>
      </w:r>
    </w:p>
    <w:p w:rsidR="00317160" w:rsidRPr="00E757F4" w:rsidRDefault="00317160" w:rsidP="003171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недоимку по имущественным налогам с физлиц могут взыскать работодатели.</w:t>
      </w:r>
    </w:p>
    <w:p w:rsidR="00317160" w:rsidRPr="00E757F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Обновленный НДФЛ 2016 г.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новые штрафы грозят налоговому агенту с 2016 г.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Новые ежеквартальные расчеты для налоговых агентов.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Новые вычеты на детей.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Новые освобождения от НДФЛ с 2016 г.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отчитаться по НДФЛ за работников обособленного подразделения с 2016 г.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Расчет НДФЛ по командировкам с 2016 г.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по ряду доходов физлица определить день, который признается датой их фактического получения.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Займы физлицам: считаем и платим НДФЛ с мат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ериальной </w:t>
      </w: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выгоды по новым правилам.</w:t>
      </w:r>
    </w:p>
    <w:p w:rsidR="00317160" w:rsidRPr="00E757F4" w:rsidRDefault="00317160" w:rsidP="003171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Новые критерии освобождения от уплаты НДФЛ при продаже недвижимости и как получить налоговый вычет при продаже имущества с 2016 г.</w:t>
      </w:r>
    </w:p>
    <w:p w:rsidR="00317160" w:rsidRPr="00E757F4" w:rsidRDefault="00317160" w:rsidP="0031716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Запрет заемного труда: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 с 2016 г. изменятся аутсорсинг и </w:t>
      </w:r>
      <w:proofErr w:type="spellStart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аутстаффинг</w:t>
      </w:r>
      <w:proofErr w:type="spellEnd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Чем заменить в 2016 г. </w:t>
      </w:r>
      <w:proofErr w:type="spellStart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аутстаффинг</w:t>
      </w:r>
      <w:proofErr w:type="spellEnd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чтобы не попасть под «заемный труд».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Новый вид деятельности с 2016 г.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Нужно ли менять условия договоров </w:t>
      </w:r>
      <w:proofErr w:type="spellStart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аутстаффинга</w:t>
      </w:r>
      <w:proofErr w:type="spellEnd"/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заключенных до 2016 г.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будет запрещено использовать сторонних работников.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Оформление отношений по предоставлению персонала.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Переходим на аутсорсинг: как избежать ошибок при оформлении договора.</w:t>
      </w:r>
    </w:p>
    <w:p w:rsidR="00317160" w:rsidRPr="00E757F4" w:rsidRDefault="00317160" w:rsidP="003171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Административная ответствен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ность за нарушение новых правил</w:t>
      </w:r>
      <w:r w:rsidRPr="00E757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17160" w:rsidRPr="00B97AC2" w:rsidRDefault="00317160" w:rsidP="0031716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97A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4. </w:t>
      </w:r>
      <w:r w:rsidRPr="00B97AC2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Единый социальный страховой сбор с 2017 года. </w:t>
      </w:r>
    </w:p>
    <w:p w:rsidR="00317160" w:rsidRDefault="00317160" w:rsidP="00317160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5. Социальные пособия (детские, декретные, больничные). </w:t>
      </w:r>
    </w:p>
    <w:p w:rsidR="00317160" w:rsidRPr="00B97AC2" w:rsidRDefault="00317160" w:rsidP="0031716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97A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Порядок расчёта и изменения с 2017 г. </w:t>
      </w:r>
    </w:p>
    <w:p w:rsidR="00317160" w:rsidRPr="00B97AC2" w:rsidRDefault="00317160" w:rsidP="00317160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97A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Электронный больничный.</w:t>
      </w:r>
    </w:p>
    <w:p w:rsidR="00317160" w:rsidRPr="00B97AC2" w:rsidRDefault="00317160" w:rsidP="00317160">
      <w:pPr>
        <w:pStyle w:val="a8"/>
        <w:ind w:left="0"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6. Расчёт отпускных, компенсаций за неиспользованный отпуск, оплаты дополнительных отпусков.</w:t>
      </w:r>
      <w:r w:rsidRPr="00B97AC2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7. Трудовые договоры и договоры ГПХ: сравнительный анализ.</w:t>
      </w:r>
      <w:r w:rsidRPr="00B97AC2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8. </w:t>
      </w:r>
      <w:proofErr w:type="spellStart"/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Профстандарты</w:t>
      </w:r>
      <w:proofErr w:type="spellEnd"/>
      <w:r w:rsidRPr="00B97A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 что нужно знать бухгалтеру?</w:t>
      </w:r>
    </w:p>
    <w:p w:rsidR="001753C2" w:rsidRDefault="001753C2" w:rsidP="00F80284">
      <w:pPr>
        <w:spacing w:before="240" w:line="240" w:lineRule="exact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F80284" w:rsidRDefault="00951F24" w:rsidP="00F80284">
      <w:pPr>
        <w:spacing w:before="240" w:line="240" w:lineRule="exact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Преимущества</w:t>
      </w:r>
      <w:r w:rsidR="00B625BB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семинара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:</w:t>
      </w:r>
    </w:p>
    <w:p w:rsidR="004F20F0" w:rsidRPr="00D62255" w:rsidRDefault="00F80284" w:rsidP="001753C2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Услышать</w:t>
      </w:r>
      <w:r w:rsidR="00B625BB"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актуальную информацию </w:t>
      </w:r>
      <w:proofErr w:type="gramStart"/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6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поправка</w:t>
      </w:r>
      <w:r w:rsidR="00D6225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 w:rsidRPr="00D62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разных законодательных актах и бухгалтерской работе от </w:t>
      </w:r>
      <w:proofErr w:type="spellStart"/>
      <w:r w:rsidR="00B625BB" w:rsidRPr="001465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Стажковой</w:t>
      </w:r>
      <w:proofErr w:type="spellEnd"/>
      <w:r w:rsidR="00B625BB" w:rsidRPr="001465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Марии  Михайловны</w:t>
      </w:r>
      <w:r w:rsidR="00B625BB" w:rsidRPr="00D62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25BB" w:rsidRPr="00D6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B625BB" w:rsidRPr="00D6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г.Москва</w:t>
      </w:r>
      <w:proofErr w:type="spellEnd"/>
      <w:r w:rsidR="00B625BB" w:rsidRPr="00D6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5BB"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5BB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к.э.н., доцент </w:t>
      </w:r>
      <w:proofErr w:type="spellStart"/>
      <w:r w:rsidR="00B625BB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B625BB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информационно-аналитического агентства "Эксперт", внештатный эксперт Департамента здравоохр</w:t>
      </w:r>
      <w:bookmarkStart w:id="0" w:name="_GoBack"/>
      <w:bookmarkEnd w:id="0"/>
      <w:r w:rsidR="00B625BB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г. Москвы по экономическим вопросам, практикующий аудитор,</w:t>
      </w:r>
      <w:r w:rsidR="00B625BB" w:rsidRPr="00D62255">
        <w:rPr>
          <w:rFonts w:ascii="Times New Roman" w:hAnsi="Times New Roman" w:cs="Times New Roman"/>
          <w:sz w:val="24"/>
          <w:szCs w:val="24"/>
        </w:rPr>
        <w:t xml:space="preserve"> </w:t>
      </w:r>
      <w:r w:rsidR="00B625BB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аттестованный преподаватель ИПБ России, эксперт БСС "Система Главбух";</w:t>
      </w:r>
    </w:p>
    <w:p w:rsidR="00951F24" w:rsidRPr="00D62255" w:rsidRDefault="00951F24" w:rsidP="001753C2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участия в </w:t>
      </w:r>
      <w:r w:rsidR="004F20F0"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двухдневном или в однодневном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семинаре</w:t>
      </w:r>
      <w:r w:rsidR="004F20F0"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F20F0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сем</w:t>
      </w:r>
      <w:r w:rsid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инар посетит главный бухгалтер, </w:t>
      </w:r>
      <w:r w:rsidR="004F20F0"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второй день – расчетчик заработной платы; </w:t>
      </w:r>
    </w:p>
    <w:p w:rsidR="00B625BB" w:rsidRPr="00D62255" w:rsidRDefault="00951F24" w:rsidP="001753C2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</w:t>
      </w:r>
      <w:r w:rsid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удостоверение о повышении квалификации</w:t>
      </w:r>
      <w:r w:rsidR="00B625BB"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51F24" w:rsidRDefault="00951F24" w:rsidP="001753C2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обеспечиваются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комплектом учебно-методических материалов</w:t>
      </w:r>
      <w:r w:rsidR="0014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753C2" w:rsidRPr="001753C2" w:rsidRDefault="001753C2" w:rsidP="001753C2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обучения: </w:t>
      </w:r>
      <w:r w:rsidRPr="00175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– 5300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/чел, два дня – 9500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/чел;</w:t>
      </w:r>
    </w:p>
    <w:p w:rsidR="001753C2" w:rsidRPr="00D62255" w:rsidRDefault="001753C2" w:rsidP="001753C2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2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Возможность получить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скидку 5%</w:t>
      </w:r>
      <w:r w:rsidRPr="00D622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направлении 2х и более представителей одного учреждения, </w:t>
      </w:r>
      <w:r w:rsidRPr="00D622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рассрочку</w:t>
      </w:r>
      <w:r w:rsidRPr="00D622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платежа</w:t>
      </w:r>
      <w:r w:rsidR="001465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0326D" w:rsidRPr="008E7E78" w:rsidRDefault="0020326D" w:rsidP="0020326D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34"/>
          <w:lang w:eastAsia="ru-RU"/>
        </w:rPr>
      </w:pPr>
    </w:p>
    <w:p w:rsidR="00A305FE" w:rsidRDefault="000E2023" w:rsidP="00A3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4"/>
          <w:lang w:eastAsia="ru-RU"/>
        </w:rPr>
        <w:t>С подробным содержанием программы можно ознакомиться</w:t>
      </w:r>
      <w:r w:rsidR="0020326D"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 на сайте </w:t>
      </w:r>
      <w:proofErr w:type="spellStart"/>
      <w:r w:rsidR="0020326D"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КРАГ</w:t>
      </w:r>
      <w:r w:rsidR="001753C2">
        <w:rPr>
          <w:rFonts w:ascii="Times New Roman" w:eastAsia="Times New Roman" w:hAnsi="Times New Roman" w:cs="Times New Roman"/>
          <w:sz w:val="24"/>
          <w:szCs w:val="34"/>
          <w:lang w:eastAsia="ru-RU"/>
        </w:rPr>
        <w:t>СиУ</w:t>
      </w:r>
      <w:proofErr w:type="spellEnd"/>
      <w:r w:rsidR="001753C2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: </w:t>
      </w:r>
      <w:hyperlink r:id="rId7" w:history="1">
        <w:proofErr w:type="gramStart"/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eastAsia="ru-RU"/>
          </w:rPr>
          <w:t>www.krags.ru</w:t>
        </w:r>
      </w:hyperlink>
      <w:r w:rsidR="001753C2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  (</w:t>
      </w:r>
      <w:proofErr w:type="gramEnd"/>
      <w:r w:rsidR="001753C2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вкладка «Дополнительное </w:t>
      </w:r>
      <w:r w:rsid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о</w:t>
      </w:r>
      <w:r w:rsidR="0020326D"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бразование</w:t>
      </w:r>
      <w:r w:rsid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»</w:t>
      </w:r>
      <w:r w:rsidR="0020326D"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). </w:t>
      </w:r>
    </w:p>
    <w:p w:rsidR="001753C2" w:rsidRDefault="0020326D" w:rsidP="00A3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ru-RU"/>
        </w:rPr>
      </w:pPr>
      <w:r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По вопросам участия в программе обращаться к Терентьевой Татьяне Валерьевне, специалисту Центра повышения квалификации государственных и муниципальных служащих Института дополнительного профессионального образования и управленческого консалтинга, по тел.:  </w:t>
      </w:r>
    </w:p>
    <w:p w:rsidR="0020326D" w:rsidRPr="008E7E78" w:rsidRDefault="0020326D" w:rsidP="00A3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ru-RU"/>
        </w:rPr>
      </w:pPr>
      <w:r w:rsidRPr="0008625F">
        <w:rPr>
          <w:rFonts w:ascii="Times New Roman" w:eastAsia="Times New Roman" w:hAnsi="Times New Roman" w:cs="Times New Roman"/>
          <w:color w:val="1F4E79" w:themeColor="accent1" w:themeShade="80"/>
          <w:sz w:val="24"/>
          <w:szCs w:val="34"/>
          <w:lang w:eastAsia="ru-RU"/>
        </w:rPr>
        <w:t>8(8212) 302-780 (доб.109</w:t>
      </w:r>
      <w:r w:rsidR="001753C2">
        <w:rPr>
          <w:rFonts w:ascii="Times New Roman" w:eastAsia="Times New Roman" w:hAnsi="Times New Roman" w:cs="Times New Roman"/>
          <w:color w:val="1F4E79" w:themeColor="accent1" w:themeShade="80"/>
          <w:sz w:val="24"/>
          <w:szCs w:val="34"/>
          <w:lang w:eastAsia="ru-RU"/>
        </w:rPr>
        <w:t>, 125, 167, 168</w:t>
      </w:r>
      <w:r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)</w:t>
      </w:r>
      <w:r w:rsidR="0008625F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 или </w:t>
      </w:r>
      <w:proofErr w:type="spellStart"/>
      <w:r w:rsidR="0008625F">
        <w:rPr>
          <w:rFonts w:ascii="Times New Roman" w:eastAsia="Times New Roman" w:hAnsi="Times New Roman" w:cs="Times New Roman"/>
          <w:sz w:val="24"/>
          <w:szCs w:val="34"/>
          <w:lang w:eastAsia="ru-RU"/>
        </w:rPr>
        <w:t>эл</w:t>
      </w:r>
      <w:r w:rsidRPr="008E7E78">
        <w:rPr>
          <w:rFonts w:ascii="Times New Roman" w:eastAsia="Times New Roman" w:hAnsi="Times New Roman" w:cs="Times New Roman"/>
          <w:sz w:val="24"/>
          <w:szCs w:val="34"/>
          <w:lang w:eastAsia="ru-RU"/>
        </w:rPr>
        <w:t>.</w:t>
      </w:r>
      <w:r w:rsidR="0008625F">
        <w:rPr>
          <w:rFonts w:ascii="Times New Roman" w:eastAsia="Times New Roman" w:hAnsi="Times New Roman" w:cs="Times New Roman"/>
          <w:sz w:val="24"/>
          <w:szCs w:val="34"/>
          <w:lang w:eastAsia="ru-RU"/>
        </w:rPr>
        <w:t>почте</w:t>
      </w:r>
      <w:proofErr w:type="spellEnd"/>
      <w:r w:rsidR="0008625F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: </w:t>
      </w:r>
      <w:hyperlink r:id="rId8" w:history="1"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val="en-US" w:eastAsia="ru-RU"/>
          </w:rPr>
          <w:t>dpo</w:t>
        </w:r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eastAsia="ru-RU"/>
          </w:rPr>
          <w:t>2@</w:t>
        </w:r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val="en-US" w:eastAsia="ru-RU"/>
          </w:rPr>
          <w:t>krags</w:t>
        </w:r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eastAsia="ru-RU"/>
          </w:rPr>
          <w:t>.</w:t>
        </w:r>
        <w:proofErr w:type="spellStart"/>
        <w:r w:rsidR="001753C2" w:rsidRPr="001D692A">
          <w:rPr>
            <w:rStyle w:val="a9"/>
            <w:rFonts w:ascii="Times New Roman" w:eastAsia="Times New Roman" w:hAnsi="Times New Roman" w:cs="Times New Roman"/>
            <w:sz w:val="24"/>
            <w:szCs w:val="34"/>
            <w:lang w:val="en-US" w:eastAsia="ru-RU"/>
          </w:rPr>
          <w:t>ru</w:t>
        </w:r>
        <w:proofErr w:type="spellEnd"/>
      </w:hyperlink>
      <w:r w:rsidR="001753C2">
        <w:rPr>
          <w:rFonts w:ascii="Times New Roman" w:eastAsia="Times New Roman" w:hAnsi="Times New Roman" w:cs="Times New Roman"/>
          <w:color w:val="1F4E79" w:themeColor="accent1" w:themeShade="80"/>
          <w:sz w:val="24"/>
          <w:szCs w:val="34"/>
          <w:lang w:eastAsia="ru-RU"/>
        </w:rPr>
        <w:t xml:space="preserve"> </w:t>
      </w:r>
    </w:p>
    <w:sectPr w:rsidR="0020326D" w:rsidRPr="008E7E78" w:rsidSect="008C3059">
      <w:pgSz w:w="11906" w:h="16838"/>
      <w:pgMar w:top="567" w:right="56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8C"/>
    <w:multiLevelType w:val="multilevel"/>
    <w:tmpl w:val="97C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073"/>
    <w:multiLevelType w:val="multilevel"/>
    <w:tmpl w:val="93A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37F7"/>
    <w:multiLevelType w:val="hybridMultilevel"/>
    <w:tmpl w:val="B86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5902"/>
    <w:multiLevelType w:val="multilevel"/>
    <w:tmpl w:val="CC1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29B3"/>
    <w:multiLevelType w:val="hybridMultilevel"/>
    <w:tmpl w:val="F7DC6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8351F"/>
    <w:multiLevelType w:val="multilevel"/>
    <w:tmpl w:val="5B5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73066"/>
    <w:multiLevelType w:val="hybridMultilevel"/>
    <w:tmpl w:val="E62CB2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9A1537"/>
    <w:multiLevelType w:val="hybridMultilevel"/>
    <w:tmpl w:val="3B9AE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6C0"/>
    <w:multiLevelType w:val="multilevel"/>
    <w:tmpl w:val="F63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F23DF"/>
    <w:multiLevelType w:val="multilevel"/>
    <w:tmpl w:val="B81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825E2"/>
    <w:multiLevelType w:val="multilevel"/>
    <w:tmpl w:val="18A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679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39B52D7"/>
    <w:multiLevelType w:val="multilevel"/>
    <w:tmpl w:val="998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F76F6"/>
    <w:multiLevelType w:val="hybridMultilevel"/>
    <w:tmpl w:val="17D81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A7F16"/>
    <w:multiLevelType w:val="multilevel"/>
    <w:tmpl w:val="7DC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453D9"/>
    <w:multiLevelType w:val="multilevel"/>
    <w:tmpl w:val="D1B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B3F14"/>
    <w:multiLevelType w:val="hybridMultilevel"/>
    <w:tmpl w:val="5A3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50362"/>
    <w:multiLevelType w:val="hybridMultilevel"/>
    <w:tmpl w:val="C9DECFFC"/>
    <w:lvl w:ilvl="0" w:tplc="73B20358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04924E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BD21B98"/>
    <w:multiLevelType w:val="multilevel"/>
    <w:tmpl w:val="BA6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91CA9"/>
    <w:multiLevelType w:val="hybridMultilevel"/>
    <w:tmpl w:val="6C32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44D8"/>
    <w:multiLevelType w:val="hybridMultilevel"/>
    <w:tmpl w:val="C7D6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80564"/>
    <w:multiLevelType w:val="multilevel"/>
    <w:tmpl w:val="1D7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020D1"/>
    <w:multiLevelType w:val="hybridMultilevel"/>
    <w:tmpl w:val="407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21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17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3"/>
    <w:rsid w:val="0000145F"/>
    <w:rsid w:val="00020829"/>
    <w:rsid w:val="0003696E"/>
    <w:rsid w:val="0008625F"/>
    <w:rsid w:val="000E2023"/>
    <w:rsid w:val="00126D97"/>
    <w:rsid w:val="0014391D"/>
    <w:rsid w:val="001465C6"/>
    <w:rsid w:val="001753C2"/>
    <w:rsid w:val="0020326D"/>
    <w:rsid w:val="00317160"/>
    <w:rsid w:val="003501FC"/>
    <w:rsid w:val="00365082"/>
    <w:rsid w:val="00374075"/>
    <w:rsid w:val="003D0450"/>
    <w:rsid w:val="00430BFF"/>
    <w:rsid w:val="0047429C"/>
    <w:rsid w:val="004E3DA4"/>
    <w:rsid w:val="004F20F0"/>
    <w:rsid w:val="0055022B"/>
    <w:rsid w:val="00564895"/>
    <w:rsid w:val="00596BF1"/>
    <w:rsid w:val="005B111A"/>
    <w:rsid w:val="005B3BBF"/>
    <w:rsid w:val="006E1EBB"/>
    <w:rsid w:val="007104C1"/>
    <w:rsid w:val="007E6233"/>
    <w:rsid w:val="008C3059"/>
    <w:rsid w:val="008E7E78"/>
    <w:rsid w:val="008F09F9"/>
    <w:rsid w:val="00951F24"/>
    <w:rsid w:val="00992248"/>
    <w:rsid w:val="00A03662"/>
    <w:rsid w:val="00A305FE"/>
    <w:rsid w:val="00A335E9"/>
    <w:rsid w:val="00A54F09"/>
    <w:rsid w:val="00A57830"/>
    <w:rsid w:val="00A67459"/>
    <w:rsid w:val="00AE4123"/>
    <w:rsid w:val="00B21143"/>
    <w:rsid w:val="00B625BB"/>
    <w:rsid w:val="00B97AC2"/>
    <w:rsid w:val="00C21A1F"/>
    <w:rsid w:val="00C44EFA"/>
    <w:rsid w:val="00CA53FC"/>
    <w:rsid w:val="00D00518"/>
    <w:rsid w:val="00D62255"/>
    <w:rsid w:val="00DA5B8E"/>
    <w:rsid w:val="00E118DC"/>
    <w:rsid w:val="00E757F4"/>
    <w:rsid w:val="00F23CB4"/>
    <w:rsid w:val="00F33FF9"/>
    <w:rsid w:val="00F80284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C357C-61A1-47CA-9AEE-7311501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E62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233"/>
  </w:style>
  <w:style w:type="paragraph" w:styleId="a6">
    <w:name w:val="Balloon Text"/>
    <w:basedOn w:val="a"/>
    <w:link w:val="a7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224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92248"/>
  </w:style>
  <w:style w:type="character" w:styleId="a9">
    <w:name w:val="Hyperlink"/>
    <w:basedOn w:val="a0"/>
    <w:unhideWhenUsed/>
    <w:rsid w:val="006E1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2@krag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66ED-4CD9-49B4-9C92-116B802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2016-09-12T13:29:00Z</cp:lastPrinted>
  <dcterms:created xsi:type="dcterms:W3CDTF">2016-09-13T08:20:00Z</dcterms:created>
  <dcterms:modified xsi:type="dcterms:W3CDTF">2016-09-13T08:20:00Z</dcterms:modified>
</cp:coreProperties>
</file>