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 xml:space="preserve">Итоги Всероссийского конкурса 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«Лучшая муниципальная практика»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2017 год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 xml:space="preserve">В конкурсе </w:t>
      </w:r>
      <w:r>
        <w:rPr>
          <w:szCs w:val="28"/>
        </w:rPr>
        <w:t xml:space="preserve">участвовали </w:t>
      </w:r>
      <w:r w:rsidRPr="0018396A">
        <w:rPr>
          <w:szCs w:val="28"/>
        </w:rPr>
        <w:t xml:space="preserve"> муниципальные образования, распределяемые по следующим категориям участников конкурса: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1) I категория - городские округа и городские поселения;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2) II категория - сельские поселения.</w:t>
      </w:r>
    </w:p>
    <w:p w:rsidR="003F16BF" w:rsidRDefault="003F16BF" w:rsidP="003F16BF">
      <w:pPr>
        <w:pStyle w:val="a3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каждой категории участников конкурса отбирались конкурсные заявки, набравшие наибольшее количество балов в соответствии с</w:t>
      </w:r>
      <w:r>
        <w:rPr>
          <w:szCs w:val="28"/>
        </w:rPr>
        <w:t xml:space="preserve"> методиками </w:t>
      </w:r>
      <w:r w:rsidRPr="0018396A">
        <w:rPr>
          <w:szCs w:val="28"/>
        </w:rPr>
        <w:t xml:space="preserve"> оценк</w:t>
      </w:r>
      <w:r>
        <w:rPr>
          <w:szCs w:val="28"/>
        </w:rPr>
        <w:t>и</w:t>
      </w:r>
      <w:r w:rsidRPr="0018396A">
        <w:rPr>
          <w:szCs w:val="28"/>
        </w:rPr>
        <w:t xml:space="preserve"> конкурсных заявок</w:t>
      </w:r>
      <w:r>
        <w:rPr>
          <w:szCs w:val="28"/>
        </w:rPr>
        <w:t>, утвержденными соответствующими федеральными органами исполнительной власти</w:t>
      </w:r>
      <w:r w:rsidRPr="0018396A">
        <w:rPr>
          <w:szCs w:val="28"/>
        </w:rPr>
        <w:t xml:space="preserve">. </w:t>
      </w:r>
    </w:p>
    <w:p w:rsidR="003F16BF" w:rsidRDefault="003F16BF" w:rsidP="003F16BF">
      <w:pPr>
        <w:pStyle w:val="a3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</w:t>
      </w:r>
      <w:r>
        <w:rPr>
          <w:szCs w:val="28"/>
        </w:rPr>
        <w:t xml:space="preserve"> </w:t>
      </w:r>
      <w:r w:rsidRPr="0018396A">
        <w:rPr>
          <w:szCs w:val="28"/>
        </w:rPr>
        <w:t xml:space="preserve">номинации </w:t>
      </w:r>
      <w:r w:rsidRPr="0018396A">
        <w:rPr>
          <w:szCs w:val="28"/>
          <w:u w:val="single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  <w:u w:val="single"/>
        </w:rPr>
      </w:pP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 xml:space="preserve">По указанной номинации </w:t>
      </w:r>
      <w:r w:rsidRPr="0018396A">
        <w:rPr>
          <w:szCs w:val="28"/>
        </w:rPr>
        <w:t xml:space="preserve">учитывались показатели и деятельность муниципалитетов в области ЖКХ: соотношение инженерной инфраструктуры к количеству жителей, износ инженерных систем, проведение мероприятий по их реконструкции и модернизации, в частности на основе государственно-частного партнерства, строительство новых объектов. Во внимание принималось и сокращение аварийности на инженерных системах и увеличение их </w:t>
      </w:r>
      <w:proofErr w:type="spellStart"/>
      <w:r w:rsidRPr="0018396A">
        <w:rPr>
          <w:szCs w:val="28"/>
        </w:rPr>
        <w:t>энергоэффективности</w:t>
      </w:r>
      <w:proofErr w:type="spellEnd"/>
      <w:r w:rsidRPr="0018396A">
        <w:rPr>
          <w:szCs w:val="28"/>
        </w:rPr>
        <w:t>.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 xml:space="preserve">Кроме этого, оценивалась работа муниципалитетов в области формирования комфортной городской среды — благоустройство парков, скверов, </w:t>
      </w:r>
      <w:proofErr w:type="spellStart"/>
      <w:r w:rsidRPr="0018396A">
        <w:rPr>
          <w:szCs w:val="28"/>
        </w:rPr>
        <w:t>водоохранных</w:t>
      </w:r>
      <w:proofErr w:type="spellEnd"/>
      <w:r w:rsidRPr="0018396A">
        <w:rPr>
          <w:szCs w:val="28"/>
        </w:rPr>
        <w:t xml:space="preserve"> зон. Такие проекты должны были быть направлены на вовлечение жителей в общественную жизнь, занятия спортом, улучшение экологии, формировать новые возможности для малого и среднего бизнеса.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Реализованные проекты Республики Коми, направленные на конкурс, име</w:t>
      </w:r>
      <w:r>
        <w:rPr>
          <w:szCs w:val="28"/>
        </w:rPr>
        <w:t>ли</w:t>
      </w:r>
      <w:r w:rsidRPr="0018396A">
        <w:rPr>
          <w:szCs w:val="28"/>
        </w:rPr>
        <w:t xml:space="preserve"> более узкую направленность</w:t>
      </w:r>
      <w:r>
        <w:rPr>
          <w:szCs w:val="28"/>
        </w:rPr>
        <w:t xml:space="preserve">, и </w:t>
      </w:r>
      <w:r w:rsidRPr="0018396A">
        <w:rPr>
          <w:szCs w:val="28"/>
        </w:rPr>
        <w:t>не отража</w:t>
      </w:r>
      <w:r>
        <w:rPr>
          <w:szCs w:val="28"/>
        </w:rPr>
        <w:t>ли</w:t>
      </w:r>
      <w:r w:rsidRPr="0018396A">
        <w:rPr>
          <w:szCs w:val="28"/>
        </w:rPr>
        <w:t xml:space="preserve"> градостроительную политику и развитие жилищно-комм</w:t>
      </w:r>
      <w:r>
        <w:rPr>
          <w:szCs w:val="28"/>
        </w:rPr>
        <w:t>унального хозяйства в комплексе, как следствие, данные проекты не попали в число победителей конкурса.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 номинации «</w:t>
      </w:r>
      <w:r w:rsidRPr="0018396A">
        <w:rPr>
          <w:szCs w:val="28"/>
          <w:u w:val="single"/>
        </w:rPr>
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 xml:space="preserve">По указанной номинации </w:t>
      </w:r>
      <w:r w:rsidRPr="0018396A">
        <w:rPr>
          <w:szCs w:val="28"/>
        </w:rPr>
        <w:t>в заявках победителей были отражены: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1)</w:t>
      </w:r>
      <w:r w:rsidRPr="0018396A">
        <w:rPr>
          <w:szCs w:val="28"/>
        </w:rPr>
        <w:t xml:space="preserve"> высокие уровни электоральной активности</w:t>
      </w:r>
      <w:r>
        <w:rPr>
          <w:szCs w:val="28"/>
        </w:rPr>
        <w:t xml:space="preserve"> (проведение местных референдумов; высокий процент участия в выборах)</w:t>
      </w:r>
      <w:r w:rsidRPr="0018396A">
        <w:rPr>
          <w:szCs w:val="28"/>
        </w:rPr>
        <w:t>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2)</w:t>
      </w:r>
      <w:r w:rsidRPr="0018396A">
        <w:rPr>
          <w:szCs w:val="28"/>
        </w:rPr>
        <w:t xml:space="preserve"> высокие показатели активного участия населения в осуществлении местного самоуправления</w:t>
      </w:r>
      <w:r>
        <w:rPr>
          <w:szCs w:val="28"/>
        </w:rPr>
        <w:t xml:space="preserve"> (проведение собраний, сходов, конференций, публичных слушаний)</w:t>
      </w:r>
      <w:r w:rsidRPr="0018396A">
        <w:rPr>
          <w:szCs w:val="28"/>
        </w:rPr>
        <w:t>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lastRenderedPageBreak/>
        <w:t>3)</w:t>
      </w:r>
      <w:r w:rsidRPr="0018396A">
        <w:rPr>
          <w:szCs w:val="28"/>
        </w:rPr>
        <w:t xml:space="preserve"> достаточно большая готовность граждан участвовать в решении вопросов местного значения, в общественно-политической жизни своих территориальных сообществ</w:t>
      </w:r>
      <w:r>
        <w:rPr>
          <w:szCs w:val="28"/>
        </w:rPr>
        <w:t xml:space="preserve"> (жители активно участвуют в решении проблемных вопросов своей территории, в том числе финансовое участие)</w:t>
      </w:r>
      <w:r w:rsidRPr="0018396A">
        <w:rPr>
          <w:szCs w:val="28"/>
        </w:rPr>
        <w:t>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4)</w:t>
      </w:r>
      <w:r w:rsidRPr="0018396A">
        <w:rPr>
          <w:szCs w:val="28"/>
        </w:rPr>
        <w:t xml:space="preserve"> значительный объем расходов местных бюджетов, распределенный на поддержку территориального общественного самоуправления (далее – ТОС). 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К</w:t>
      </w:r>
      <w:r w:rsidRPr="0018396A">
        <w:rPr>
          <w:szCs w:val="28"/>
        </w:rPr>
        <w:t xml:space="preserve"> причинам, по которым конкурсные заявки муниципальных образований в Республике Коми не вошли в </w:t>
      </w:r>
      <w:r>
        <w:rPr>
          <w:szCs w:val="28"/>
        </w:rPr>
        <w:t>число</w:t>
      </w:r>
      <w:r w:rsidRPr="0018396A">
        <w:rPr>
          <w:szCs w:val="28"/>
        </w:rPr>
        <w:t xml:space="preserve"> победителей</w:t>
      </w:r>
      <w:r>
        <w:rPr>
          <w:szCs w:val="28"/>
        </w:rPr>
        <w:t xml:space="preserve"> по данной номинации</w:t>
      </w:r>
      <w:r w:rsidRPr="0018396A">
        <w:rPr>
          <w:szCs w:val="28"/>
        </w:rPr>
        <w:t>, относятся: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1)</w:t>
      </w:r>
      <w:r w:rsidRPr="0018396A">
        <w:rPr>
          <w:szCs w:val="28"/>
        </w:rPr>
        <w:t xml:space="preserve"> невысокий уровень гражданской активности;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2)</w:t>
      </w:r>
      <w:r w:rsidRPr="0018396A">
        <w:rPr>
          <w:szCs w:val="28"/>
        </w:rPr>
        <w:t xml:space="preserve"> слабая электоральная активность;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3)</w:t>
      </w:r>
      <w:r w:rsidRPr="0018396A">
        <w:rPr>
          <w:szCs w:val="28"/>
        </w:rPr>
        <w:t xml:space="preserve"> недостаточная готовность населения муниципального образования участвовать в решении вопросов местного значения;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4)</w:t>
      </w:r>
      <w:r w:rsidRPr="0018396A">
        <w:rPr>
          <w:szCs w:val="28"/>
        </w:rPr>
        <w:t xml:space="preserve"> низкая правотворческая инициатива граждан;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 xml:space="preserve">5) </w:t>
      </w:r>
      <w:r w:rsidRPr="0018396A">
        <w:rPr>
          <w:szCs w:val="28"/>
        </w:rPr>
        <w:t>слабая готовность местной власти к конструктивному взаимодействию с обществом;</w:t>
      </w:r>
    </w:p>
    <w:p w:rsidR="003F16BF" w:rsidRPr="0018396A" w:rsidRDefault="003F16BF" w:rsidP="003F16BF">
      <w:pPr>
        <w:pStyle w:val="a3"/>
        <w:rPr>
          <w:szCs w:val="28"/>
        </w:rPr>
      </w:pPr>
      <w:r>
        <w:rPr>
          <w:szCs w:val="28"/>
        </w:rPr>
        <w:t>6)</w:t>
      </w:r>
      <w:r w:rsidRPr="0018396A">
        <w:rPr>
          <w:szCs w:val="28"/>
        </w:rPr>
        <w:t xml:space="preserve"> небольшой объем расходов, выделяемый муниципалитетом на проекты, инициированные ТОС.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 xml:space="preserve">По номинации </w:t>
      </w:r>
      <w:r w:rsidRPr="0018396A">
        <w:rPr>
          <w:szCs w:val="28"/>
          <w:u w:val="single"/>
        </w:rPr>
        <w:t>«Муниципальная экономическая политика и управление муниципальными финансами»</w:t>
      </w:r>
      <w:r>
        <w:rPr>
          <w:szCs w:val="28"/>
          <w:u w:val="single"/>
        </w:rPr>
        <w:t>.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 xml:space="preserve">Для занятия лидирующих позиций в конкурсе ключевым моментом стало отсутствие муниципального долга и реализация проектов </w:t>
      </w:r>
      <w:proofErr w:type="spellStart"/>
      <w:r w:rsidRPr="0018396A">
        <w:rPr>
          <w:szCs w:val="28"/>
        </w:rPr>
        <w:t>муниципально</w:t>
      </w:r>
      <w:proofErr w:type="spellEnd"/>
      <w:r w:rsidRPr="0018396A">
        <w:rPr>
          <w:szCs w:val="28"/>
        </w:rPr>
        <w:t>-частного партнерства.</w:t>
      </w:r>
    </w:p>
    <w:p w:rsidR="00B93E66" w:rsidRPr="0018396A" w:rsidRDefault="003F16BF" w:rsidP="00B93E66">
      <w:pPr>
        <w:pStyle w:val="a3"/>
        <w:rPr>
          <w:szCs w:val="28"/>
        </w:rPr>
      </w:pPr>
      <w:r w:rsidRPr="0018396A">
        <w:rPr>
          <w:szCs w:val="28"/>
        </w:rPr>
        <w:t>Несмотря на то, что в заявках победителей</w:t>
      </w:r>
      <w:r w:rsidR="00B93E66">
        <w:rPr>
          <w:szCs w:val="28"/>
        </w:rPr>
        <w:t xml:space="preserve"> регионального этапа была </w:t>
      </w:r>
      <w:r w:rsidRPr="0018396A">
        <w:rPr>
          <w:szCs w:val="28"/>
        </w:rPr>
        <w:t xml:space="preserve"> отражена комплексная информация о развитии муниципальных образований, в презентационных материалах особое внимание </w:t>
      </w:r>
      <w:r w:rsidR="00B93E66">
        <w:rPr>
          <w:szCs w:val="28"/>
        </w:rPr>
        <w:t xml:space="preserve">было </w:t>
      </w:r>
      <w:r w:rsidRPr="0018396A">
        <w:rPr>
          <w:szCs w:val="28"/>
        </w:rPr>
        <w:t>уделено узкой сфере — обеспечению благоприятных условий п</w:t>
      </w:r>
      <w:r w:rsidR="00B93E66">
        <w:rPr>
          <w:szCs w:val="28"/>
        </w:rPr>
        <w:t xml:space="preserve">редпринимательской деятельности, что не позволило конкурсным материалам муниципальных образований Республики Коми войти в число призеров конкурса 2017 года. </w:t>
      </w:r>
      <w:r w:rsidR="00B93E66" w:rsidRPr="0018396A">
        <w:rPr>
          <w:szCs w:val="28"/>
        </w:rPr>
        <w:t xml:space="preserve">Несмотря на </w:t>
      </w:r>
      <w:r w:rsidR="00B93E66">
        <w:rPr>
          <w:szCs w:val="28"/>
        </w:rPr>
        <w:t>э</w:t>
      </w:r>
      <w:r w:rsidR="00B93E66" w:rsidRPr="0018396A">
        <w:rPr>
          <w:szCs w:val="28"/>
        </w:rPr>
        <w:t>то,  проект городского округа «Сыктывкар» вошел в Сборник лучших муниципальных практик по итогам 2017 года, как один из примеров внедрения инструментов инициативного бюджетирования.</w:t>
      </w:r>
    </w:p>
    <w:p w:rsidR="003F16BF" w:rsidRPr="0018396A" w:rsidRDefault="003F16BF" w:rsidP="003F16BF">
      <w:pPr>
        <w:pStyle w:val="a3"/>
        <w:rPr>
          <w:szCs w:val="28"/>
        </w:rPr>
      </w:pPr>
    </w:p>
    <w:p w:rsidR="00601580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итогам конкурса был выпущен Сборник лучших муниципальных практик по итогам 2017 года</w:t>
      </w:r>
      <w:r w:rsidR="00601580">
        <w:rPr>
          <w:szCs w:val="28"/>
        </w:rPr>
        <w:t>.</w:t>
      </w:r>
    </w:p>
    <w:p w:rsidR="003F16BF" w:rsidRDefault="00601580" w:rsidP="003F16BF">
      <w:pPr>
        <w:pStyle w:val="a3"/>
        <w:rPr>
          <w:szCs w:val="28"/>
        </w:rPr>
      </w:pPr>
      <w:r>
        <w:rPr>
          <w:szCs w:val="28"/>
        </w:rPr>
        <w:t>Сборник размещен на официальном сайте Министерства юстиции Российской Федерации по адресу:</w:t>
      </w:r>
    </w:p>
    <w:bookmarkStart w:id="0" w:name="_GoBack"/>
    <w:bookmarkEnd w:id="0"/>
    <w:p w:rsidR="00601580" w:rsidRDefault="00601580" w:rsidP="00601580">
      <w:pPr>
        <w:pStyle w:val="a3"/>
        <w:ind w:firstLine="0"/>
        <w:rPr>
          <w:szCs w:val="28"/>
        </w:rPr>
      </w:pPr>
      <w:r>
        <w:fldChar w:fldCharType="begin"/>
      </w:r>
      <w:r>
        <w:instrText xml:space="preserve"> HYPERLINK "https://minjust.ru/sites/default/files/sbornik_luchshih_municipalnyh_praktik_po_itogam_2017_goda_0.pdf" </w:instrText>
      </w:r>
      <w:r>
        <w:fldChar w:fldCharType="separate"/>
      </w:r>
      <w:r>
        <w:rPr>
          <w:rStyle w:val="a5"/>
        </w:rPr>
        <w:t>https://minjust.ru/sites/default/files/sbornik_luchshih_municipalnyh_praktik_po_itogam_2017_goda_0.pdf</w:t>
      </w:r>
      <w:r>
        <w:fldChar w:fldCharType="end"/>
      </w:r>
    </w:p>
    <w:p w:rsidR="003F16BF" w:rsidRPr="00842276" w:rsidRDefault="003F16BF" w:rsidP="003F16BF">
      <w:pPr>
        <w:pStyle w:val="a3"/>
        <w:rPr>
          <w:szCs w:val="28"/>
        </w:rPr>
      </w:pPr>
    </w:p>
    <w:p w:rsidR="00CF2427" w:rsidRDefault="00CF2427"/>
    <w:sectPr w:rsidR="00CF2427" w:rsidSect="00B93E66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F"/>
    <w:rsid w:val="000067C8"/>
    <w:rsid w:val="00015944"/>
    <w:rsid w:val="00025F3A"/>
    <w:rsid w:val="00026738"/>
    <w:rsid w:val="00031DDB"/>
    <w:rsid w:val="00040146"/>
    <w:rsid w:val="00084AC7"/>
    <w:rsid w:val="000A53F9"/>
    <w:rsid w:val="000B3FD6"/>
    <w:rsid w:val="000C104D"/>
    <w:rsid w:val="000C1D93"/>
    <w:rsid w:val="000E26E3"/>
    <w:rsid w:val="000E665F"/>
    <w:rsid w:val="00105838"/>
    <w:rsid w:val="00110AB2"/>
    <w:rsid w:val="0012393B"/>
    <w:rsid w:val="00131B18"/>
    <w:rsid w:val="00176D2F"/>
    <w:rsid w:val="0018487A"/>
    <w:rsid w:val="001D4C1A"/>
    <w:rsid w:val="0021500B"/>
    <w:rsid w:val="00222C42"/>
    <w:rsid w:val="0022476B"/>
    <w:rsid w:val="0025340C"/>
    <w:rsid w:val="00263E14"/>
    <w:rsid w:val="00267C1E"/>
    <w:rsid w:val="002741F6"/>
    <w:rsid w:val="00280E78"/>
    <w:rsid w:val="002E7039"/>
    <w:rsid w:val="002F495C"/>
    <w:rsid w:val="002F5B59"/>
    <w:rsid w:val="00332731"/>
    <w:rsid w:val="00340474"/>
    <w:rsid w:val="00342096"/>
    <w:rsid w:val="00390CA6"/>
    <w:rsid w:val="003C7A89"/>
    <w:rsid w:val="003F16BF"/>
    <w:rsid w:val="003F206F"/>
    <w:rsid w:val="00404F62"/>
    <w:rsid w:val="00405256"/>
    <w:rsid w:val="00467EB3"/>
    <w:rsid w:val="004731DD"/>
    <w:rsid w:val="004E0542"/>
    <w:rsid w:val="00535D0F"/>
    <w:rsid w:val="00550216"/>
    <w:rsid w:val="00574B1A"/>
    <w:rsid w:val="00577DFC"/>
    <w:rsid w:val="005A1399"/>
    <w:rsid w:val="005A7FCA"/>
    <w:rsid w:val="005C372A"/>
    <w:rsid w:val="005C64FC"/>
    <w:rsid w:val="005D004C"/>
    <w:rsid w:val="005E222C"/>
    <w:rsid w:val="00601580"/>
    <w:rsid w:val="006409A1"/>
    <w:rsid w:val="00667630"/>
    <w:rsid w:val="00690723"/>
    <w:rsid w:val="006C67F7"/>
    <w:rsid w:val="006F20D4"/>
    <w:rsid w:val="006F355C"/>
    <w:rsid w:val="0071245D"/>
    <w:rsid w:val="007174F3"/>
    <w:rsid w:val="007456D5"/>
    <w:rsid w:val="0076488E"/>
    <w:rsid w:val="007A36B0"/>
    <w:rsid w:val="007F4C41"/>
    <w:rsid w:val="008C0AF9"/>
    <w:rsid w:val="008D5E1B"/>
    <w:rsid w:val="008E30BA"/>
    <w:rsid w:val="00922225"/>
    <w:rsid w:val="00923027"/>
    <w:rsid w:val="00957558"/>
    <w:rsid w:val="009C523C"/>
    <w:rsid w:val="009E11F4"/>
    <w:rsid w:val="00A246B7"/>
    <w:rsid w:val="00AA2724"/>
    <w:rsid w:val="00AA577A"/>
    <w:rsid w:val="00AE3B61"/>
    <w:rsid w:val="00B07012"/>
    <w:rsid w:val="00B8208C"/>
    <w:rsid w:val="00B86153"/>
    <w:rsid w:val="00B86F5D"/>
    <w:rsid w:val="00B93E66"/>
    <w:rsid w:val="00BB3CAE"/>
    <w:rsid w:val="00BE7602"/>
    <w:rsid w:val="00C52C58"/>
    <w:rsid w:val="00CB6D4F"/>
    <w:rsid w:val="00CF2427"/>
    <w:rsid w:val="00D051DC"/>
    <w:rsid w:val="00D0698B"/>
    <w:rsid w:val="00D11E3B"/>
    <w:rsid w:val="00D43EE9"/>
    <w:rsid w:val="00D760E4"/>
    <w:rsid w:val="00DC4FA9"/>
    <w:rsid w:val="00E13511"/>
    <w:rsid w:val="00E26240"/>
    <w:rsid w:val="00E43F62"/>
    <w:rsid w:val="00E813D2"/>
    <w:rsid w:val="00E92B87"/>
    <w:rsid w:val="00EB6D62"/>
    <w:rsid w:val="00ED03F9"/>
    <w:rsid w:val="00EE1475"/>
    <w:rsid w:val="00EE3155"/>
    <w:rsid w:val="00F6554C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01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01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Крепс Наталия Михайловна</dc:creator>
  <cp:lastModifiedBy>Крепс Наталия Михайловна</cp:lastModifiedBy>
  <cp:revision>2</cp:revision>
  <dcterms:created xsi:type="dcterms:W3CDTF">2020-02-04T14:02:00Z</dcterms:created>
  <dcterms:modified xsi:type="dcterms:W3CDTF">2020-02-04T14:02:00Z</dcterms:modified>
</cp:coreProperties>
</file>